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DE" w:rsidRDefault="00B377DE" w:rsidP="00B377DE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GDDW kl. 6</w:t>
      </w:r>
    </w:p>
    <w:p w:rsidR="00B377DE" w:rsidRDefault="00B377DE" w:rsidP="00B377DE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</w:rPr>
      </w:pP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B377DE">
        <w:rPr>
          <w:b/>
          <w:bCs/>
        </w:rPr>
        <w:t xml:space="preserve">Temat: </w:t>
      </w:r>
      <w:r w:rsidR="00B377DE" w:rsidRPr="00B377DE">
        <w:rPr>
          <w:b/>
          <w:bCs/>
        </w:rPr>
        <w:t>Rozmawiamy o kartkach z kalendarza historii.</w:t>
      </w: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Cs/>
        </w:rPr>
      </w:pPr>
      <w:r w:rsidRPr="00B377DE">
        <w:rPr>
          <w:bCs/>
        </w:rPr>
        <w:t xml:space="preserve">Proszę o zapoznanie </w:t>
      </w:r>
      <w:proofErr w:type="spellStart"/>
      <w:r w:rsidRPr="00B377DE">
        <w:rPr>
          <w:bCs/>
        </w:rPr>
        <w:t>sie</w:t>
      </w:r>
      <w:proofErr w:type="spellEnd"/>
      <w:r w:rsidRPr="00B377DE">
        <w:rPr>
          <w:bCs/>
        </w:rPr>
        <w:t xml:space="preserve"> z podstawowymi informacjami na temat konstytucji 3 maja, </w:t>
      </w:r>
      <w:r w:rsidR="00B377DE" w:rsidRPr="00B377DE">
        <w:rPr>
          <w:bCs/>
        </w:rPr>
        <w:br/>
      </w:r>
      <w:r w:rsidRPr="00B377DE">
        <w:rPr>
          <w:bCs/>
        </w:rPr>
        <w:t>a następnie proszę rozwiązać test (podany link)</w:t>
      </w: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B377DE">
        <w:rPr>
          <w:b/>
          <w:bCs/>
        </w:rPr>
        <w:t>Konstytucja 3 maja</w:t>
      </w:r>
      <w:r w:rsidRPr="00B377DE">
        <w:t>, właśc. </w:t>
      </w:r>
      <w:r w:rsidRPr="00B377DE">
        <w:rPr>
          <w:b/>
          <w:bCs/>
        </w:rPr>
        <w:t>Ustawa Rządowa z dnia 3 maja</w:t>
      </w:r>
      <w:r w:rsidRPr="00B377DE">
        <w:t> – uchwalona </w:t>
      </w:r>
      <w:r w:rsidR="00B377DE" w:rsidRPr="00B377DE">
        <w:br/>
      </w:r>
      <w:hyperlink r:id="rId4" w:tooltip="3 maja" w:history="1">
        <w:r w:rsidRPr="00B377DE">
          <w:rPr>
            <w:rStyle w:val="Hipercze"/>
            <w:color w:val="auto"/>
            <w:u w:val="none"/>
          </w:rPr>
          <w:t>3 maja</w:t>
        </w:r>
      </w:hyperlink>
      <w:r w:rsidRPr="00B377DE">
        <w:t> </w:t>
      </w:r>
      <w:hyperlink r:id="rId5" w:tooltip="1791" w:history="1">
        <w:r w:rsidRPr="00B377DE">
          <w:rPr>
            <w:rStyle w:val="Hipercze"/>
            <w:color w:val="auto"/>
            <w:u w:val="none"/>
          </w:rPr>
          <w:t>1791</w:t>
        </w:r>
      </w:hyperlink>
      <w:r w:rsidRPr="00B377DE">
        <w:t> roku </w:t>
      </w:r>
      <w:hyperlink r:id="rId6" w:tooltip="Ustawa" w:history="1">
        <w:r w:rsidRPr="00B377DE">
          <w:rPr>
            <w:rStyle w:val="Hipercze"/>
            <w:color w:val="auto"/>
            <w:u w:val="none"/>
          </w:rPr>
          <w:t>ustawa</w:t>
        </w:r>
      </w:hyperlink>
      <w:r w:rsidRPr="00B377DE">
        <w:t> regulująca ustrój prawny </w:t>
      </w:r>
      <w:hyperlink r:id="rId7" w:tooltip="Rzeczpospolita Obojga Narodów" w:history="1">
        <w:r w:rsidRPr="00B377DE">
          <w:rPr>
            <w:rStyle w:val="Hipercze"/>
            <w:color w:val="auto"/>
            <w:u w:val="none"/>
          </w:rPr>
          <w:t>Rzeczypospolitej Obojga Narodów</w:t>
        </w:r>
      </w:hyperlink>
      <w:r w:rsidRPr="00B377DE">
        <w:t>. Powszechnie przyjmuje się, że Konstytucja 3 maja była pierwszą w Europie i drugą na świecie (po </w:t>
      </w:r>
      <w:hyperlink r:id="rId8" w:tooltip="Konstytucja Stanów Zjednoczonych" w:history="1">
        <w:r w:rsidRPr="00B377DE">
          <w:rPr>
            <w:rStyle w:val="Hipercze"/>
            <w:color w:val="auto"/>
            <w:u w:val="none"/>
          </w:rPr>
          <w:t>konstytucji amerykańskiej</w:t>
        </w:r>
      </w:hyperlink>
      <w:r w:rsidRPr="00B377DE">
        <w:t> z </w:t>
      </w:r>
      <w:hyperlink r:id="rId9" w:tooltip="1787" w:history="1">
        <w:r w:rsidRPr="00B377DE">
          <w:rPr>
            <w:rStyle w:val="Hipercze"/>
            <w:color w:val="auto"/>
            <w:u w:val="none"/>
          </w:rPr>
          <w:t>1787</w:t>
        </w:r>
      </w:hyperlink>
      <w:r w:rsidRPr="00B377DE">
        <w:t> r.) nowoczesną, spisaną konstytucją.</w:t>
      </w: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B377DE">
        <w:t>Uchwalona przez króla </w:t>
      </w:r>
      <w:hyperlink r:id="rId10" w:tooltip="Stanisław August Poniatowski" w:history="1">
        <w:r w:rsidRPr="00B377DE">
          <w:rPr>
            <w:rStyle w:val="Hipercze"/>
            <w:color w:val="auto"/>
            <w:u w:val="none"/>
          </w:rPr>
          <w:t>Stanisława Augusta Poniatowskiego</w:t>
        </w:r>
      </w:hyperlink>
      <w:r w:rsidRPr="00B377DE">
        <w:t> wraz ze </w:t>
      </w:r>
      <w:r w:rsidRPr="00B377DE">
        <w:rPr>
          <w:i/>
          <w:iCs/>
        </w:rPr>
        <w:t xml:space="preserve">stanami </w:t>
      </w:r>
      <w:proofErr w:type="spellStart"/>
      <w:r w:rsidRPr="00B377DE">
        <w:rPr>
          <w:i/>
          <w:iCs/>
        </w:rPr>
        <w:t>skonfederowanemi</w:t>
      </w:r>
      <w:proofErr w:type="spellEnd"/>
      <w:r w:rsidRPr="00B377DE">
        <w:rPr>
          <w:i/>
          <w:iCs/>
        </w:rPr>
        <w:t xml:space="preserve"> w liczbie </w:t>
      </w:r>
      <w:proofErr w:type="spellStart"/>
      <w:r w:rsidRPr="00B377DE">
        <w:rPr>
          <w:i/>
          <w:iCs/>
        </w:rPr>
        <w:t>podwóyney</w:t>
      </w:r>
      <w:proofErr w:type="spellEnd"/>
      <w:r w:rsidRPr="00B377DE">
        <w:rPr>
          <w:i/>
          <w:iCs/>
        </w:rPr>
        <w:t xml:space="preserve"> naród Polski </w:t>
      </w:r>
      <w:proofErr w:type="spellStart"/>
      <w:r w:rsidRPr="00B377DE">
        <w:rPr>
          <w:i/>
          <w:iCs/>
        </w:rPr>
        <w:t>reprezentującemi</w:t>
      </w:r>
      <w:proofErr w:type="spellEnd"/>
      <w:r w:rsidRPr="00B377DE">
        <w:t>. Została zaprojektowana w celu zlikwidowania obecnych od dawna wad opartego na </w:t>
      </w:r>
      <w:hyperlink r:id="rId11" w:tooltip="Wolna elekcja" w:history="1">
        <w:r w:rsidRPr="00B377DE">
          <w:rPr>
            <w:rStyle w:val="Hipercze"/>
            <w:color w:val="auto"/>
            <w:u w:val="none"/>
          </w:rPr>
          <w:t>wolnej elekcji</w:t>
        </w:r>
      </w:hyperlink>
      <w:r w:rsidRPr="00B377DE">
        <w:t> i </w:t>
      </w:r>
      <w:hyperlink r:id="rId12" w:tooltip="Demokracja szlachecka" w:history="1">
        <w:r w:rsidRPr="00B377DE">
          <w:rPr>
            <w:rStyle w:val="Hipercze"/>
            <w:color w:val="auto"/>
            <w:u w:val="none"/>
          </w:rPr>
          <w:t>demokracji szlacheckiej</w:t>
        </w:r>
      </w:hyperlink>
      <w:r w:rsidRPr="00B377DE">
        <w:t> systemu politycznego Rzeczypospolitej Obojga Narodów. Konstytucja zmieniła ustrój państwa na </w:t>
      </w:r>
      <w:hyperlink r:id="rId13" w:tooltip="Monarchia dziedziczna" w:history="1">
        <w:r w:rsidRPr="00B377DE">
          <w:rPr>
            <w:rStyle w:val="Hipercze"/>
            <w:color w:val="auto"/>
            <w:u w:val="none"/>
          </w:rPr>
          <w:t>monarchię dziedziczną</w:t>
        </w:r>
      </w:hyperlink>
      <w:r w:rsidRPr="00B377DE">
        <w:t>, ograniczyła znacząco </w:t>
      </w:r>
      <w:hyperlink r:id="rId14" w:tooltip="Demokracja szlachecka" w:history="1">
        <w:r w:rsidRPr="00B377DE">
          <w:rPr>
            <w:rStyle w:val="Hipercze"/>
            <w:color w:val="auto"/>
            <w:u w:val="none"/>
          </w:rPr>
          <w:t>demokrację szlachecką</w:t>
        </w:r>
      </w:hyperlink>
      <w:r w:rsidRPr="00B377DE">
        <w:t>, odbierając prawo głosu i decyzji w sprawach państwa szlachcie nieposiadającej ziemi (</w:t>
      </w:r>
      <w:hyperlink r:id="rId15" w:tooltip="Gołota" w:history="1">
        <w:r w:rsidRPr="00B377DE">
          <w:rPr>
            <w:rStyle w:val="Hipercze"/>
            <w:color w:val="auto"/>
            <w:u w:val="none"/>
          </w:rPr>
          <w:t>gołocie</w:t>
        </w:r>
      </w:hyperlink>
      <w:r w:rsidRPr="00B377DE">
        <w:t>), wprowadziła częściowe zrównanie praw osobistych </w:t>
      </w:r>
      <w:hyperlink r:id="rId16" w:tooltip="Mieszczaństwo" w:history="1">
        <w:r w:rsidRPr="00B377DE">
          <w:rPr>
            <w:rStyle w:val="Hipercze"/>
            <w:color w:val="auto"/>
            <w:u w:val="none"/>
          </w:rPr>
          <w:t>mieszczan</w:t>
        </w:r>
      </w:hyperlink>
      <w:r w:rsidRPr="00B377DE">
        <w:t> i </w:t>
      </w:r>
      <w:hyperlink r:id="rId17" w:tooltip="Szlachta w Polsce" w:history="1">
        <w:r w:rsidRPr="00B377DE">
          <w:rPr>
            <w:rStyle w:val="Hipercze"/>
            <w:color w:val="auto"/>
            <w:u w:val="none"/>
          </w:rPr>
          <w:t>szlachty</w:t>
        </w:r>
      </w:hyperlink>
      <w:r w:rsidRPr="00B377DE">
        <w:t> oraz stawiała chłopów pod ochroną państwa, w ten sposób łagodząc nadużycia </w:t>
      </w:r>
      <w:hyperlink r:id="rId18" w:tooltip="Pańszczyzna" w:history="1">
        <w:r w:rsidRPr="00B377DE">
          <w:rPr>
            <w:rStyle w:val="Hipercze"/>
            <w:color w:val="auto"/>
            <w:u w:val="none"/>
          </w:rPr>
          <w:t>pańszczyzny</w:t>
        </w:r>
      </w:hyperlink>
      <w:r w:rsidRPr="00B377DE">
        <w:t>. Konstytucja formalnie zniosła </w:t>
      </w:r>
      <w:hyperlink r:id="rId19" w:tooltip="Liberum veto" w:history="1">
        <w:r w:rsidRPr="00B377DE">
          <w:rPr>
            <w:rStyle w:val="Hipercze"/>
            <w:i/>
            <w:iCs/>
            <w:color w:val="auto"/>
            <w:u w:val="none"/>
          </w:rPr>
          <w:t>liberum veto</w:t>
        </w:r>
      </w:hyperlink>
      <w:r w:rsidRPr="00B377DE">
        <w:t>.</w:t>
      </w: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B377DE">
        <w:t>Przyjęcie </w:t>
      </w:r>
      <w:hyperlink r:id="rId20" w:tooltip="Monarchizm" w:history="1">
        <w:r w:rsidRPr="00B377DE">
          <w:rPr>
            <w:rStyle w:val="Hipercze"/>
            <w:color w:val="auto"/>
            <w:u w:val="none"/>
          </w:rPr>
          <w:t>monarchicznej</w:t>
        </w:r>
      </w:hyperlink>
      <w:r w:rsidRPr="00B377DE">
        <w:t> Konstytucji 3 maja spowodowało opozycję republikanów oraz sprowokowało wrogość </w:t>
      </w:r>
      <w:hyperlink r:id="rId21" w:tooltip="Imperium Rosyjskie" w:history="1">
        <w:r w:rsidRPr="00B377DE">
          <w:rPr>
            <w:rStyle w:val="Hipercze"/>
            <w:color w:val="auto"/>
            <w:u w:val="none"/>
          </w:rPr>
          <w:t>Imperium Rosyjskiego</w:t>
        </w:r>
      </w:hyperlink>
      <w:r w:rsidRPr="00B377DE">
        <w:t>, które od </w:t>
      </w:r>
      <w:hyperlink r:id="rId22" w:tooltip="1768" w:history="1">
        <w:r w:rsidRPr="00B377DE">
          <w:rPr>
            <w:rStyle w:val="Hipercze"/>
            <w:color w:val="auto"/>
            <w:u w:val="none"/>
          </w:rPr>
          <w:t>1768</w:t>
        </w:r>
      </w:hyperlink>
      <w:r w:rsidRPr="00B377DE">
        <w:t> roku było protektorem Rzeczypospolitej i gwarantem nienaruszalności jej ustroju. W </w:t>
      </w:r>
      <w:hyperlink r:id="rId23" w:tooltip="Wojna polsko-rosyjska (1792)" w:history="1">
        <w:r w:rsidRPr="00B377DE">
          <w:rPr>
            <w:rStyle w:val="Hipercze"/>
            <w:color w:val="auto"/>
            <w:u w:val="none"/>
          </w:rPr>
          <w:t>wojnie w obronie konstytucji</w:t>
        </w:r>
      </w:hyperlink>
      <w:r w:rsidRPr="00B377DE">
        <w:t> </w:t>
      </w:r>
      <w:hyperlink r:id="rId24" w:tooltip="Polska" w:history="1">
        <w:r w:rsidRPr="00B377DE">
          <w:rPr>
            <w:rStyle w:val="Hipercze"/>
            <w:color w:val="auto"/>
            <w:u w:val="none"/>
          </w:rPr>
          <w:t>Polska</w:t>
        </w:r>
      </w:hyperlink>
      <w:r w:rsidRPr="00B377DE">
        <w:t>, zdradzona przez swojego </w:t>
      </w:r>
      <w:hyperlink r:id="rId25" w:tooltip="Królestwo Prus" w:history="1">
        <w:r w:rsidRPr="00B377DE">
          <w:rPr>
            <w:rStyle w:val="Hipercze"/>
            <w:color w:val="auto"/>
            <w:u w:val="none"/>
          </w:rPr>
          <w:t>pruskiego</w:t>
        </w:r>
      </w:hyperlink>
      <w:r w:rsidRPr="00B377DE">
        <w:t> </w:t>
      </w:r>
      <w:hyperlink r:id="rId26" w:tooltip="Przymierze polsko-pruskie" w:history="1">
        <w:r w:rsidRPr="00B377DE">
          <w:rPr>
            <w:rStyle w:val="Hipercze"/>
            <w:color w:val="auto"/>
            <w:u w:val="none"/>
          </w:rPr>
          <w:t>sprzymierzeńca</w:t>
        </w:r>
      </w:hyperlink>
      <w:r w:rsidRPr="00B377DE">
        <w:t> </w:t>
      </w:r>
      <w:hyperlink r:id="rId27" w:tooltip="Fryderyk Wilhelm II Pruski" w:history="1">
        <w:r w:rsidRPr="00B377DE">
          <w:rPr>
            <w:rStyle w:val="Hipercze"/>
            <w:color w:val="auto"/>
            <w:u w:val="none"/>
          </w:rPr>
          <w:t>Fryderyka Wilhelma II</w:t>
        </w:r>
      </w:hyperlink>
      <w:r w:rsidRPr="00B377DE">
        <w:t>, została pokonana przez </w:t>
      </w:r>
      <w:hyperlink r:id="rId28" w:tooltip="Armia Imperium Rosyjskiego" w:history="1">
        <w:r w:rsidRPr="00B377DE">
          <w:rPr>
            <w:rStyle w:val="Hipercze"/>
            <w:color w:val="auto"/>
            <w:u w:val="none"/>
          </w:rPr>
          <w:t>wojska rosyjskie</w:t>
        </w:r>
      </w:hyperlink>
      <w:r w:rsidRPr="00B377DE">
        <w:t> </w:t>
      </w:r>
      <w:hyperlink r:id="rId29" w:tooltip="Katarzyna II Wielka" w:history="1">
        <w:r w:rsidRPr="00B377DE">
          <w:rPr>
            <w:rStyle w:val="Hipercze"/>
            <w:color w:val="auto"/>
            <w:u w:val="none"/>
          </w:rPr>
          <w:t>Katarzyny Wielkiej</w:t>
        </w:r>
      </w:hyperlink>
      <w:r w:rsidRPr="00B377DE">
        <w:t>, wspierające </w:t>
      </w:r>
      <w:hyperlink r:id="rId30" w:tooltip="Konfederacja targowicka" w:history="1">
        <w:r w:rsidRPr="00B377DE">
          <w:rPr>
            <w:rStyle w:val="Hipercze"/>
            <w:color w:val="auto"/>
            <w:u w:val="none"/>
          </w:rPr>
          <w:t>konfederację targowicką</w:t>
        </w:r>
      </w:hyperlink>
      <w:r w:rsidRPr="00B377DE">
        <w:t> – spisek części </w:t>
      </w:r>
      <w:hyperlink r:id="rId31" w:tooltip="Magnateria polska" w:history="1">
        <w:r w:rsidRPr="00B377DE">
          <w:rPr>
            <w:rStyle w:val="Hipercze"/>
            <w:color w:val="auto"/>
            <w:u w:val="none"/>
          </w:rPr>
          <w:t>polskich magnatów</w:t>
        </w:r>
      </w:hyperlink>
      <w:r w:rsidRPr="00B377DE">
        <w:t> przeciwnych zmianie ustroju Rzeczypospolitej. Po utracie niepodległości w 1795 roku przez 123</w:t>
      </w:r>
      <w:r w:rsidR="00B377DE" w:rsidRPr="00B377DE">
        <w:t xml:space="preserve"> </w:t>
      </w:r>
      <w:r w:rsidRPr="00B377DE">
        <w:t>lata </w:t>
      </w:r>
      <w:hyperlink r:id="rId32" w:tooltip="Rozbiory Polski" w:history="1">
        <w:r w:rsidRPr="00B377DE">
          <w:rPr>
            <w:rStyle w:val="Hipercze"/>
            <w:color w:val="auto"/>
            <w:u w:val="none"/>
          </w:rPr>
          <w:t>rozbiorów</w:t>
        </w:r>
      </w:hyperlink>
      <w:r w:rsidRPr="00B377DE">
        <w:t xml:space="preserve"> przypominała o walce </w:t>
      </w:r>
      <w:r w:rsidR="0081109C">
        <w:br/>
      </w:r>
      <w:r w:rsidRPr="00B377DE">
        <w:t>o niepodległość. Zdaniem dwóch</w:t>
      </w:r>
      <w:r w:rsidR="0081109C">
        <w:t xml:space="preserve"> </w:t>
      </w:r>
      <w:r w:rsidRPr="00B377DE">
        <w:t>współautorów </w:t>
      </w:r>
      <w:hyperlink r:id="rId33" w:tooltip="Ignacy Potocki" w:history="1">
        <w:r w:rsidRPr="00B377DE">
          <w:rPr>
            <w:rStyle w:val="Hipercze"/>
            <w:color w:val="auto"/>
            <w:u w:val="none"/>
          </w:rPr>
          <w:t>Ignacego Potockiego</w:t>
        </w:r>
      </w:hyperlink>
      <w:r w:rsidRPr="00B377DE">
        <w:t> i </w:t>
      </w:r>
      <w:hyperlink r:id="rId34" w:tooltip="Hugo Kołłątaj" w:history="1">
        <w:r w:rsidRPr="00B377DE">
          <w:rPr>
            <w:rStyle w:val="Hipercze"/>
            <w:color w:val="auto"/>
            <w:u w:val="none"/>
          </w:rPr>
          <w:t>Hugona Kołłątaja</w:t>
        </w:r>
      </w:hyperlink>
      <w:r w:rsidRPr="00B377DE">
        <w:t> była „ostatnią wolą i testamentem gasnącej Ojczyzny”.</w:t>
      </w:r>
    </w:p>
    <w:p w:rsidR="00DF43D7" w:rsidRPr="00B377DE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B377DE">
        <w:t>Konstytucja przestała w praktyce obowiązywać (straciła znaczenie) 24 lipca </w:t>
      </w:r>
      <w:hyperlink r:id="rId35" w:tooltip="1792" w:history="1">
        <w:r w:rsidRPr="00B377DE">
          <w:rPr>
            <w:rStyle w:val="Hipercze"/>
            <w:color w:val="auto"/>
            <w:u w:val="none"/>
          </w:rPr>
          <w:t>1792</w:t>
        </w:r>
      </w:hyperlink>
      <w:r w:rsidRPr="00B377DE">
        <w:t> roku (w momencie przystąpienia króla Stanisława Augusta Poniatowskiego do </w:t>
      </w:r>
      <w:hyperlink r:id="rId36" w:tooltip="Konfederacja targowicka" w:history="1">
        <w:r w:rsidRPr="00B377DE">
          <w:rPr>
            <w:rStyle w:val="Hipercze"/>
            <w:color w:val="auto"/>
            <w:u w:val="none"/>
          </w:rPr>
          <w:t>konfederacji targowickiej</w:t>
        </w:r>
      </w:hyperlink>
      <w:r w:rsidRPr="00B377DE">
        <w:t>) – czyli po nieco ponad 14 miesiącach, w ciągu których Sejm Czteroletni uchwalił szereg ustaw szczegółowych, będących rozwinięciem jej postanowień. Przestała natomiast być obowiązującym </w:t>
      </w:r>
      <w:hyperlink r:id="rId37" w:tooltip="Akt prawny" w:history="1">
        <w:r w:rsidRPr="00B377DE">
          <w:rPr>
            <w:rStyle w:val="Hipercze"/>
            <w:color w:val="auto"/>
            <w:u w:val="none"/>
          </w:rPr>
          <w:t>aktem</w:t>
        </w:r>
        <w:r w:rsidR="0081109C">
          <w:rPr>
            <w:rStyle w:val="Hipercze"/>
            <w:color w:val="auto"/>
            <w:u w:val="none"/>
          </w:rPr>
          <w:t xml:space="preserve"> </w:t>
        </w:r>
        <w:r w:rsidRPr="00B377DE">
          <w:rPr>
            <w:rStyle w:val="Hipercze"/>
            <w:color w:val="auto"/>
            <w:u w:val="none"/>
          </w:rPr>
          <w:t>prawnym</w:t>
        </w:r>
      </w:hyperlink>
      <w:r w:rsidRPr="00B377DE">
        <w:t> (została </w:t>
      </w:r>
      <w:hyperlink r:id="rId38" w:tooltip="Derogacja (prawo)" w:history="1">
        <w:r w:rsidRPr="00B377DE">
          <w:rPr>
            <w:rStyle w:val="Hipercze"/>
            <w:color w:val="auto"/>
            <w:u w:val="none"/>
          </w:rPr>
          <w:t>derogowana</w:t>
        </w:r>
      </w:hyperlink>
      <w:r w:rsidRPr="00B377DE">
        <w:t>)</w:t>
      </w:r>
      <w:r w:rsidR="0081109C">
        <w:t xml:space="preserve"> </w:t>
      </w:r>
      <w:r w:rsidRPr="00B377DE">
        <w:t>23</w:t>
      </w:r>
      <w:r w:rsidR="0081109C">
        <w:t xml:space="preserve"> </w:t>
      </w:r>
      <w:r w:rsidRPr="00B377DE">
        <w:t>listopada </w:t>
      </w:r>
      <w:hyperlink r:id="rId39" w:tooltip="1793" w:history="1">
        <w:r w:rsidRPr="00B377DE">
          <w:rPr>
            <w:rStyle w:val="Hipercze"/>
            <w:color w:val="auto"/>
            <w:u w:val="none"/>
          </w:rPr>
          <w:t>1793</w:t>
        </w:r>
      </w:hyperlink>
      <w:r w:rsidRPr="00B377DE">
        <w:t> roku. </w:t>
      </w:r>
      <w:hyperlink r:id="rId40" w:tooltip="Sejm grodzieński (1793)" w:history="1">
        <w:r w:rsidRPr="00B377DE">
          <w:rPr>
            <w:rStyle w:val="Hipercze"/>
            <w:color w:val="auto"/>
            <w:u w:val="none"/>
          </w:rPr>
          <w:t>Sejm grodzieński</w:t>
        </w:r>
      </w:hyperlink>
      <w:r w:rsidRPr="00B377DE">
        <w:t> uznał wtedy Sejm Czteroletni za niebyły i uchylił wszystkie ustanowione na nim akty prawne.</w:t>
      </w:r>
      <w:bookmarkStart w:id="0" w:name="_GoBack"/>
      <w:bookmarkEnd w:id="0"/>
    </w:p>
    <w:p w:rsidR="00D23B24" w:rsidRPr="00B377DE" w:rsidRDefault="00D23B24">
      <w:pPr>
        <w:rPr>
          <w:rFonts w:ascii="Times New Roman" w:hAnsi="Times New Roman" w:cs="Times New Roman"/>
          <w:sz w:val="24"/>
          <w:szCs w:val="24"/>
        </w:rPr>
      </w:pPr>
    </w:p>
    <w:p w:rsidR="00B377DE" w:rsidRPr="00B377DE" w:rsidRDefault="00B377DE">
      <w:pPr>
        <w:rPr>
          <w:rFonts w:ascii="Times New Roman" w:hAnsi="Times New Roman" w:cs="Times New Roman"/>
          <w:sz w:val="24"/>
          <w:szCs w:val="24"/>
        </w:rPr>
      </w:pPr>
      <w:r w:rsidRPr="00B377DE">
        <w:rPr>
          <w:rFonts w:ascii="Times New Roman" w:hAnsi="Times New Roman" w:cs="Times New Roman"/>
          <w:sz w:val="24"/>
          <w:szCs w:val="24"/>
        </w:rPr>
        <w:t xml:space="preserve">Sprawdź swoją wiedzę o Konstytucji: </w:t>
      </w:r>
    </w:p>
    <w:p w:rsidR="00B377DE" w:rsidRDefault="0081109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1" w:history="1">
        <w:r w:rsidR="00B377DE" w:rsidRPr="00B377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https://wordwall.net/pl/resource/1813479/konstytucja-3-maja</w:t>
        </w:r>
      </w:hyperlink>
    </w:p>
    <w:p w:rsidR="000A10C1" w:rsidRPr="000A10C1" w:rsidRDefault="0081109C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0A10C1" w:rsidRPr="000A10C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https://learningapps.org/watch?v=p8ckuvtgt20</w:t>
        </w:r>
      </w:hyperlink>
      <w:r w:rsidR="000A10C1" w:rsidRPr="000A1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A10C1" w:rsidRPr="000A10C1" w:rsidSect="00D2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D7"/>
    <w:rsid w:val="000A10C1"/>
    <w:rsid w:val="000B1AB1"/>
    <w:rsid w:val="0081109C"/>
    <w:rsid w:val="00B377DE"/>
    <w:rsid w:val="00D23B24"/>
    <w:rsid w:val="00D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E649"/>
  <w15:docId w15:val="{DDAA41AA-4A8A-4657-ABF9-04C2A5D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3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Monarchia_dziedziczna" TargetMode="External"/><Relationship Id="rId18" Type="http://schemas.openxmlformats.org/officeDocument/2006/relationships/hyperlink" Target="https://pl.wikipedia.org/wiki/Pa%C5%84szczyzna" TargetMode="External"/><Relationship Id="rId26" Type="http://schemas.openxmlformats.org/officeDocument/2006/relationships/hyperlink" Target="https://pl.wikipedia.org/wiki/Przymierze_polsko-pruskie" TargetMode="External"/><Relationship Id="rId39" Type="http://schemas.openxmlformats.org/officeDocument/2006/relationships/hyperlink" Target="https://pl.wikipedia.org/wiki/1793" TargetMode="External"/><Relationship Id="rId21" Type="http://schemas.openxmlformats.org/officeDocument/2006/relationships/hyperlink" Target="https://pl.wikipedia.org/wiki/Imperium_Rosyjskie" TargetMode="External"/><Relationship Id="rId34" Type="http://schemas.openxmlformats.org/officeDocument/2006/relationships/hyperlink" Target="https://pl.wikipedia.org/wiki/Hugo_Ko%C5%82%C5%82%C4%85taj" TargetMode="External"/><Relationship Id="rId42" Type="http://schemas.openxmlformats.org/officeDocument/2006/relationships/hyperlink" Target="https://learningapps.org/watch?v=p8ckuvtgt20" TargetMode="External"/><Relationship Id="rId7" Type="http://schemas.openxmlformats.org/officeDocument/2006/relationships/hyperlink" Target="https://pl.wikipedia.org/wiki/Rzeczpospolita_Obojga_Narod%C3%B3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Mieszcza%C5%84stwo" TargetMode="External"/><Relationship Id="rId20" Type="http://schemas.openxmlformats.org/officeDocument/2006/relationships/hyperlink" Target="https://pl.wikipedia.org/wiki/Monarchizm" TargetMode="External"/><Relationship Id="rId29" Type="http://schemas.openxmlformats.org/officeDocument/2006/relationships/hyperlink" Target="https://pl.wikipedia.org/wiki/Katarzyna_II_Wielka" TargetMode="External"/><Relationship Id="rId41" Type="http://schemas.openxmlformats.org/officeDocument/2006/relationships/hyperlink" Target="https://wordwall.net/pl/resource/1813479/konstytucja-3-maj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Ustawa" TargetMode="External"/><Relationship Id="rId11" Type="http://schemas.openxmlformats.org/officeDocument/2006/relationships/hyperlink" Target="https://pl.wikipedia.org/wiki/Wolna_elekcja" TargetMode="External"/><Relationship Id="rId24" Type="http://schemas.openxmlformats.org/officeDocument/2006/relationships/hyperlink" Target="https://pl.wikipedia.org/wiki/Polska" TargetMode="External"/><Relationship Id="rId32" Type="http://schemas.openxmlformats.org/officeDocument/2006/relationships/hyperlink" Target="https://pl.wikipedia.org/wiki/Rozbiory_Polski" TargetMode="External"/><Relationship Id="rId37" Type="http://schemas.openxmlformats.org/officeDocument/2006/relationships/hyperlink" Target="https://pl.wikipedia.org/wiki/Akt_prawny" TargetMode="External"/><Relationship Id="rId40" Type="http://schemas.openxmlformats.org/officeDocument/2006/relationships/hyperlink" Target="https://pl.wikipedia.org/wiki/Sejm_grodzie%C5%84ski_(1793)" TargetMode="External"/><Relationship Id="rId5" Type="http://schemas.openxmlformats.org/officeDocument/2006/relationships/hyperlink" Target="https://pl.wikipedia.org/wiki/1791" TargetMode="External"/><Relationship Id="rId15" Type="http://schemas.openxmlformats.org/officeDocument/2006/relationships/hyperlink" Target="https://pl.wikipedia.org/wiki/Go%C5%82ota" TargetMode="External"/><Relationship Id="rId23" Type="http://schemas.openxmlformats.org/officeDocument/2006/relationships/hyperlink" Target="https://pl.wikipedia.org/wiki/Wojna_polsko-rosyjska_(1792)" TargetMode="External"/><Relationship Id="rId28" Type="http://schemas.openxmlformats.org/officeDocument/2006/relationships/hyperlink" Target="https://pl.wikipedia.org/wiki/Armia_Imperium_Rosyjskiego" TargetMode="External"/><Relationship Id="rId36" Type="http://schemas.openxmlformats.org/officeDocument/2006/relationships/hyperlink" Target="https://pl.wikipedia.org/wiki/Konfederacja_targowicka" TargetMode="External"/><Relationship Id="rId10" Type="http://schemas.openxmlformats.org/officeDocument/2006/relationships/hyperlink" Target="https://pl.wikipedia.org/wiki/Stanis%C5%82aw_August_Poniatowski" TargetMode="External"/><Relationship Id="rId19" Type="http://schemas.openxmlformats.org/officeDocument/2006/relationships/hyperlink" Target="https://pl.wikipedia.org/wiki/Liberum_veto" TargetMode="External"/><Relationship Id="rId31" Type="http://schemas.openxmlformats.org/officeDocument/2006/relationships/hyperlink" Target="https://pl.wikipedia.org/wiki/Magnateria_polsk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l.wikipedia.org/wiki/3_maja" TargetMode="External"/><Relationship Id="rId9" Type="http://schemas.openxmlformats.org/officeDocument/2006/relationships/hyperlink" Target="https://pl.wikipedia.org/wiki/1787" TargetMode="External"/><Relationship Id="rId14" Type="http://schemas.openxmlformats.org/officeDocument/2006/relationships/hyperlink" Target="https://pl.wikipedia.org/wiki/Demokracja_szlachecka" TargetMode="External"/><Relationship Id="rId22" Type="http://schemas.openxmlformats.org/officeDocument/2006/relationships/hyperlink" Target="https://pl.wikipedia.org/wiki/1768" TargetMode="External"/><Relationship Id="rId27" Type="http://schemas.openxmlformats.org/officeDocument/2006/relationships/hyperlink" Target="https://pl.wikipedia.org/wiki/Fryderyk_Wilhelm_II_Pruski" TargetMode="External"/><Relationship Id="rId30" Type="http://schemas.openxmlformats.org/officeDocument/2006/relationships/hyperlink" Target="https://pl.wikipedia.org/wiki/Konfederacja_targowicka" TargetMode="External"/><Relationship Id="rId35" Type="http://schemas.openxmlformats.org/officeDocument/2006/relationships/hyperlink" Target="https://pl.wikipedia.org/wiki/179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l.wikipedia.org/wiki/Konstytucja_Stan%C3%B3w_Zjednoczony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Demokracja_szlachecka" TargetMode="External"/><Relationship Id="rId17" Type="http://schemas.openxmlformats.org/officeDocument/2006/relationships/hyperlink" Target="https://pl.wikipedia.org/wiki/Szlachta_w_Polsce" TargetMode="External"/><Relationship Id="rId25" Type="http://schemas.openxmlformats.org/officeDocument/2006/relationships/hyperlink" Target="https://pl.wikipedia.org/wiki/Kr%C3%B3lestwo_Prus" TargetMode="External"/><Relationship Id="rId33" Type="http://schemas.openxmlformats.org/officeDocument/2006/relationships/hyperlink" Target="https://pl.wikipedia.org/wiki/Ignacy_Potocki" TargetMode="External"/><Relationship Id="rId38" Type="http://schemas.openxmlformats.org/officeDocument/2006/relationships/hyperlink" Target="https://pl.wikipedia.org/wiki/Derogacja_(praw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4</cp:revision>
  <dcterms:created xsi:type="dcterms:W3CDTF">2020-05-05T12:00:00Z</dcterms:created>
  <dcterms:modified xsi:type="dcterms:W3CDTF">2020-05-05T13:34:00Z</dcterms:modified>
</cp:coreProperties>
</file>