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sk-SK"/>
        </w:rPr>
      </w:pPr>
      <w:r>
        <w:rPr>
          <w:lang w:eastAsia="sk-SK"/>
        </w:rPr>
        <w:drawing>
          <wp:inline distT="0" distB="0" distL="0" distR="0">
            <wp:extent cx="5753100" cy="723900"/>
            <wp:effectExtent l="0" t="0" r="7620" b="7620"/>
            <wp:docPr id="6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5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3"/>
        <w:gridCol w:w="4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9" w:type="dxa"/>
          </w:tcPr>
          <w:p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9" w:type="dxa"/>
          </w:tcPr>
          <w:p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9" w:type="dxa"/>
          </w:tcPr>
          <w:p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J. Francisciho-Rimavského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4533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9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zručností v čitateľskej, matematickej a prírodovednej gramotnosti na Gymnáziu J. Francisciho-Rimavského v Levoči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33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9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312011U603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9" w:type="dxa"/>
            <w:vAlign w:val="center"/>
          </w:tcPr>
          <w:p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prírodovednej gramotnosti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9" w:type="dxa"/>
            <w:vAlign w:val="center"/>
          </w:tcPr>
          <w:p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9" w:type="dxa"/>
            <w:vAlign w:val="center"/>
          </w:tcPr>
          <w:p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J. Francisciho-Rimavského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9" w:type="dxa"/>
            <w:vAlign w:val="center"/>
          </w:tcPr>
          <w:p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9" w:type="dxa"/>
            <w:vAlign w:val="center"/>
          </w:tcPr>
          <w:p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>
      <w:pPr>
        <w:pStyle w:val="6"/>
        <w:rPr>
          <w:rFonts w:ascii="Times New Roman" w:hAnsi="Times New Roman"/>
        </w:rPr>
      </w:pPr>
    </w:p>
    <w:tbl>
      <w:tblPr>
        <w:tblStyle w:val="5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9" w:hRule="atLeast"/>
        </w:trPr>
        <w:tc>
          <w:tcPr>
            <w:tcW w:w="9062" w:type="dxa"/>
          </w:tcPr>
          <w:p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1.Manažérske zhrnutie: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kľúčové slová: správa o činnosti PrG, prírodovedná gramotnosť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krátka anotácia</w:t>
            </w:r>
          </w:p>
          <w:p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 xml:space="preserve">Na tomto stretnutí učitelia zhrnuli aktivity a prínos hodín prírodovednej gramotnosti počas školského roka 2019/2020. </w:t>
            </w:r>
          </w:p>
          <w:p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 xml:space="preserve">Učitelia poukázali v hlavných bodoch na to, čo je potrebné v budúcom roku zlepšiť, prípadne upraviť. </w:t>
            </w:r>
          </w:p>
          <w:p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9062" w:type="dxa"/>
          </w:tcPr>
          <w:p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a/ Úvod : otvorenie prvého stretnutia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b/ Správa o činnosti PrG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c/ Diskusia vyučujúcich k téme stretnutia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a/Koordinátorka Klubu PG Beáta Procházková privítala všetkých členov Klubu PG. Predniesla im tému stretnutia.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 xml:space="preserve">b/Každý vyučujúci sa vyjadril práci na hodinách PrG počas školského roka 2019/2020. 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Učitelia prezentovali svoje skúsenosti z vyučovacích hodín, kde sa realizujú praktické cvičenia, pokusy, konštruujú a pracujú na vlastných projektoch</w:t>
            </w:r>
            <w:r>
              <w:rPr>
                <w:rFonts w:ascii="Times New Roman" w:hAnsi="Times New Roman" w:eastAsia="Times New Roman"/>
                <w:lang w:eastAsia="sk-SK"/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 xml:space="preserve">Napriek prerušeniu vyučovania a prerušeniu vyučovania predmetov PrG hodnotíme zaradenie rozvíjania PrG ako veľmi prínosné, zaujímavé pre žiakov, ako možnosť lepšie rozvíjať logiku, prepájať teóriu s praxou, priestor na uvedomenie si procesov a javov v bežnom živote.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 xml:space="preserve">Vďaka príprave na hodinách Mladého záchranára sa mohli žiaci 2.A zúčastniť celoslovenskej súťaže pri príležitosti Svetového dňa boja proti HIV/AIDS. Žiaľ, vzhľadom na prerušenie vyučovania a všetkých súťaží, sa žiaci školy nemohli zúčastniť ďalších predmetových olympiád a súťaží na úrovni okresných a krajských kôl (Pytagoriáda, biologická olympiáda, Mladý záchranár).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 xml:space="preserve">Za veľký prínos považujeme dodanie pomôcok a materiálu a didaktickej techniky, ktorá pomôže zlepšiť priebeh vyučovania týchto predmetov v budúcom školskom roku.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 xml:space="preserve">Náplň vyučovacích hodín v rámci PrG je vyhovujúca, časovo-tematické plány boli dobre pripravené. Veríme, že budúci školský rok sa naplno pretaví príprava v úspešnosti žiakov na súťažiach.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 xml:space="preserve">c/Diskusia sa niesla v duchu výmeny si poznatkov, pocitov v jednotlivých triedach. Žiaci vnímajú hodiny PrG ako prínosné a zaujímavé, o čom svedčí aj záujem o prírodovedné predmety ako maturitné predmety a potrebu prírodovedných predmetov v štúdiu na vysokých školách a ich budúcu profesiu. 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 xml:space="preserve">Aj naďalej je potrebné pracovať na tom, aby žiaci prepájali vedomosti a zručnosti medzi predmetmi, teda aby rozvíjali medzipredmetové vzťahy. Stále je tu skupina žiakov, ktorá má problém prepájať.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Na záver členovia diskutovali o: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-konkétnych témach, ktoré rozvíjali na hodinách PrG,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-spôsobmi rozvíjania logického myslenia, medzipredmetové vzťahy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-zatraktívnenie hodín chémie, biológie, fyziky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-príprave žiakov na predmetové olympiády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-materiálne vybavenie prírodovedných predmetov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</w:p>
          <w:p>
            <w:pPr>
              <w:pStyle w:val="3"/>
              <w:tabs>
                <w:tab w:val="clear" w:pos="4536"/>
                <w:tab w:val="clear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9062" w:type="dxa"/>
          </w:tcPr>
          <w:p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3.Závery a odporúčania: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8"/>
                <w:szCs w:val="28"/>
                <w:lang w:eastAsia="sk-SK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 xml:space="preserve">Koordinátorka klubu zhrnula priebeh stretnutia. Ďalej zhodnotila prácu počas vyučovacích hodín ako úspešné, populárne, preto vyzvala učiteľov, aby v tomto trende pokračovali aj v budúcom školskom roku a aby záujem o prírodné vedy bol aj naďalej veľký.  Je veľmi dôležité aj pre spoločnosť, aby naši žiaci počas štúdia nadobúdali prírodovedné kompetencie. </w:t>
            </w:r>
          </w:p>
        </w:tc>
      </w:tr>
    </w:tbl>
    <w:p>
      <w:pPr>
        <w:tabs>
          <w:tab w:val="left" w:pos="1114"/>
        </w:tabs>
      </w:pPr>
    </w:p>
    <w:p>
      <w:pPr>
        <w:tabs>
          <w:tab w:val="left" w:pos="1114"/>
        </w:tabs>
      </w:pPr>
    </w:p>
    <w:p>
      <w:pPr>
        <w:tabs>
          <w:tab w:val="left" w:pos="1114"/>
        </w:tabs>
      </w:pPr>
      <w:r>
        <w:tab/>
      </w:r>
    </w:p>
    <w:tbl>
      <w:tblPr>
        <w:tblStyle w:val="5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3"/>
        <w:gridCol w:w="5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3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9" w:type="dxa"/>
          </w:tcPr>
          <w:p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Mgr. Beáta Procházková, PhD.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3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15.6.2020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3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3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Mgr. Jaroslav Kramarčík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3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  <w:r>
              <w:rPr>
                <w:rFonts w:ascii="Times New Roman" w:hAnsi="Times New Roman" w:eastAsia="Times New Roman"/>
                <w:lang w:eastAsia="sk-SK"/>
              </w:rPr>
              <w:t>15.6.2020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3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eastAsia="Times New Roman"/>
                <w:lang w:eastAsia="sk-SK"/>
              </w:rPr>
            </w:pPr>
          </w:p>
        </w:tc>
      </w:tr>
    </w:tbl>
    <w:p>
      <w:pPr>
        <w:tabs>
          <w:tab w:val="left" w:pos="1114"/>
        </w:tabs>
      </w:pPr>
    </w:p>
    <w:p>
      <w:pPr>
        <w:tabs>
          <w:tab w:val="left" w:pos="1114"/>
        </w:tabs>
      </w:pPr>
    </w:p>
    <w:p>
      <w:pPr>
        <w:tabs>
          <w:tab w:val="left" w:pos="1114"/>
        </w:tabs>
      </w:pPr>
    </w:p>
    <w:p>
      <w:pPr>
        <w:tabs>
          <w:tab w:val="left" w:pos="1114"/>
        </w:tabs>
      </w:pPr>
    </w:p>
    <w:p>
      <w:pPr>
        <w:tabs>
          <w:tab w:val="left" w:pos="1114"/>
        </w:tabs>
      </w:pPr>
    </w:p>
    <w:p>
      <w:pPr>
        <w:tabs>
          <w:tab w:val="left" w:pos="1114"/>
        </w:tabs>
      </w:pPr>
    </w:p>
    <w:p>
      <w:pPr>
        <w:tabs>
          <w:tab w:val="left" w:pos="1114"/>
        </w:tabs>
      </w:pPr>
    </w:p>
    <w:p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Príloha:                  </w:t>
      </w:r>
      <w:r>
        <w:rPr>
          <w:rFonts w:ascii="Times New Roman" w:hAnsi="Times New Roman"/>
        </w:rPr>
        <w:t>Prezenčná listina zo stretnutia pedagogického klubu</w:t>
      </w:r>
    </w:p>
    <w:p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lang w:eastAsia="sk-SK"/>
        </w:rPr>
        <w:drawing>
          <wp:inline distT="0" distB="0" distL="0" distR="0">
            <wp:extent cx="5753100" cy="800100"/>
            <wp:effectExtent l="0" t="0" r="7620" b="762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Gymnázium J. Francisciho-Rimavského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Rozvoj zručností v čitateľskej, matematickej a prírodovednej gramotnosti na Gymnáziu J. Francisciho-Rimavského v Levoči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312011U603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Klub prírodovednej gramotnosti</w:t>
            </w:r>
          </w:p>
        </w:tc>
      </w:tr>
    </w:tbl>
    <w:p>
      <w:pPr>
        <w:rPr>
          <w:sz w:val="12"/>
          <w:szCs w:val="12"/>
        </w:rPr>
      </w:pPr>
    </w:p>
    <w:p>
      <w:pPr>
        <w:pStyle w:val="2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rPr>
          <w:sz w:val="8"/>
          <w:szCs w:val="8"/>
          <w:lang w:eastAsia="cs-CZ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Gymnázium J. Francisciho-Rimavského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15.6.2020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12.00 hod.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 15.00 hod. </w:t>
      </w:r>
      <w:r>
        <w:rPr>
          <w:rFonts w:ascii="Times New Roman" w:hAnsi="Times New Roman"/>
        </w:rPr>
        <w:tab/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pedagogického klubu:</w:t>
      </w:r>
    </w:p>
    <w:tbl>
      <w:tblPr>
        <w:tblStyle w:val="5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4"/>
        <w:gridCol w:w="3779"/>
        <w:gridCol w:w="2126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 w:hRule="atLeast"/>
        </w:trPr>
        <w:tc>
          <w:tcPr>
            <w:tcW w:w="54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 w:hRule="atLeast"/>
        </w:trPr>
        <w:tc>
          <w:tcPr>
            <w:tcW w:w="544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 w:hRule="atLeast"/>
        </w:trPr>
        <w:tc>
          <w:tcPr>
            <w:tcW w:w="544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 w:hRule="atLeast"/>
        </w:trPr>
        <w:tc>
          <w:tcPr>
            <w:tcW w:w="544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Marcela Šuňavská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 w:hRule="atLeast"/>
        </w:trPr>
        <w:tc>
          <w:tcPr>
            <w:tcW w:w="544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5" w:hRule="atLeast"/>
        </w:trPr>
        <w:tc>
          <w:tcPr>
            <w:tcW w:w="544" w:type="dxa"/>
          </w:tcPr>
          <w:p/>
        </w:tc>
        <w:tc>
          <w:tcPr>
            <w:tcW w:w="377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Simona Židová</w:t>
            </w:r>
          </w:p>
        </w:tc>
        <w:tc>
          <w:tcPr>
            <w:tcW w:w="2126" w:type="dxa"/>
          </w:tcPr>
          <w:p/>
        </w:tc>
        <w:tc>
          <w:tcPr>
            <w:tcW w:w="2763" w:type="dxa"/>
          </w:tcPr>
          <w:p>
            <w:r>
              <w:rPr>
                <w:rFonts w:ascii="Times New Roman" w:hAnsi="Times New Roman"/>
              </w:rPr>
              <w:t>GJFR Levoča</w:t>
            </w:r>
          </w:p>
        </w:tc>
      </w:tr>
    </w:tbl>
    <w:p>
      <w:pPr>
        <w:jc w:val="both"/>
        <w:rPr>
          <w:sz w:val="8"/>
          <w:szCs w:val="8"/>
        </w:rPr>
      </w:pPr>
    </w:p>
    <w:p>
      <w:pPr>
        <w:jc w:val="both"/>
      </w:pPr>
      <w:r>
        <w:t>Meno prizvaných odborníkov/iných účastníkov, ktorí nie sú členmi pedagogického klubu  a podpis/y:</w:t>
      </w:r>
    </w:p>
    <w:tbl>
      <w:tblPr>
        <w:tblStyle w:val="5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680"/>
        <w:gridCol w:w="17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 w:hRule="atLeast"/>
        </w:trPr>
        <w:tc>
          <w:tcPr>
            <w:tcW w:w="610" w:type="dxa"/>
          </w:tcPr>
          <w:p>
            <w:r>
              <w:t>č.</w:t>
            </w:r>
          </w:p>
        </w:tc>
        <w:tc>
          <w:tcPr>
            <w:tcW w:w="4680" w:type="dxa"/>
          </w:tcPr>
          <w:p>
            <w:r>
              <w:t>Meno a priezvisko</w:t>
            </w:r>
          </w:p>
        </w:tc>
        <w:tc>
          <w:tcPr>
            <w:tcW w:w="1726" w:type="dxa"/>
          </w:tcPr>
          <w:p>
            <w:r>
              <w:t>Podpis</w:t>
            </w:r>
          </w:p>
        </w:tc>
        <w:tc>
          <w:tcPr>
            <w:tcW w:w="2126" w:type="dxa"/>
          </w:tcPr>
          <w:p>
            <w:r>
              <w:t>Inštitúcia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 w:hRule="atLeast"/>
        </w:trPr>
        <w:tc>
          <w:tcPr>
            <w:tcW w:w="610" w:type="dxa"/>
          </w:tcPr>
          <w:p/>
        </w:tc>
        <w:tc>
          <w:tcPr>
            <w:tcW w:w="4680" w:type="dxa"/>
          </w:tcPr>
          <w:p>
            <w:pPr>
              <w:jc w:val="center"/>
            </w:pPr>
          </w:p>
        </w:tc>
        <w:tc>
          <w:tcPr>
            <w:tcW w:w="1726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 w:hRule="atLeast"/>
        </w:trPr>
        <w:tc>
          <w:tcPr>
            <w:tcW w:w="610" w:type="dxa"/>
          </w:tcPr>
          <w:p/>
        </w:tc>
        <w:tc>
          <w:tcPr>
            <w:tcW w:w="4680" w:type="dxa"/>
          </w:tcPr>
          <w:p>
            <w:pPr>
              <w:jc w:val="center"/>
            </w:pPr>
          </w:p>
        </w:tc>
        <w:tc>
          <w:tcPr>
            <w:tcW w:w="1726" w:type="dxa"/>
          </w:tcPr>
          <w:p/>
        </w:tc>
        <w:tc>
          <w:tcPr>
            <w:tcW w:w="2126" w:type="dxa"/>
          </w:tcPr>
          <w:p/>
        </w:tc>
      </w:tr>
    </w:tbl>
    <w:p>
      <w:pPr>
        <w:rPr>
          <w:lang w:eastAsia="sk-SK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701"/>
    <w:multiLevelType w:val="multilevel"/>
    <w:tmpl w:val="1E683701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3056"/>
    <w:rsid w:val="2502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2020-07-01T07:18:00Z</dcterms:created>
  <dc:creator>vladi</dc:creator>
  <cp:lastModifiedBy>vladi</cp:lastModifiedBy>
  <dcterms:modified xsi:type="dcterms:W3CDTF">2020-07-01T07:22:41Z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